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平乡县残联重大行政执法决定法制审核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 w:val="0"/>
          <w:sz w:val="44"/>
          <w:szCs w:val="44"/>
          <w:lang w:eastAsia="zh-CN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第一条  为了加强对重大行政执法行为的监督，保护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残疾人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和其他组织的合法权益，促进行政机关依法行政，根据《河北省重大行政执法决定法制审核办法》和有关法律、法规、规章的规定，结合我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县残联系统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实际工作，制定本规定。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第二条  本规定所称重大行政执法决定法制审核，是指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残联部门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作出重大行政执法决定之前，由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残联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法制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对其合法性、适当性进行审核的活动。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第三条  法制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负责对下列重大行政执法决定的法制审核：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（一）应当告知当事人听证权利的行政处罚；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（二）按规定应当实施且非应当场实施的行政强制；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（三）对重大违法案件实施的挂牌督办；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（四）其他经集体讨论认为需要进行法制审核的。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第四条  重大行政执法决定签发前，由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县残联法制科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报其主管领导同意后送审；应当提交集体讨论的，集体讨论前送审。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需要征求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县残联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其他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室或者其他部门意见的，应当在送审前征求意见。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第五条  送审时，应当按《河北省重大行政执法决定法制审核办法》规定提交调查报告、重大行政执法决定建议意见及情况说明、执法决定书代拟稿、承办机构集体讨论记录等全部相关材料和目录清单，并对材料的客观性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重大行政执法决定建议情况说明应当载明认定的事实和认定证据、依据等内容。超出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职权范围需要移送其他部门或者涉嫌犯罪需要移送司法机关的，一并提出移送意见。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第六条  法制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对复杂、疑难案件征询上级部门意见或者提请执法解释。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第七条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 xml:space="preserve">法制审核以书面审查为主；提出的意见或建议，经主管法制机构的领导同意后，交承办机构。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对事实定性不清、证据不足或者需要征求意见的提出继续调查建议；对执法文书不规范、程序不合法的提出纠正建议。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对继续调查、程序纠正的，由承办机构调查、纠正后重新送审。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第八条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 xml:space="preserve"> 法制课在收到送审材料后，应在七个工作日内审核完毕；案件复杂的或者特殊情况的，经机关负责人批准可以延长五个工作日。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第九条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重大行政执法决定经法制科审核同意后，应当提交机关负责人集体讨论决定的，由法制科提交集体讨论。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第十条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重大行政执法决定作出后，由法制科负责执行并做好立卷归档工作；需要备案的按规定办理报备手续。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条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本规定未作规定的，适用《河北省重大行政执法决定法制审核办法》、《河北省行政执法全过程记录实施办法》和有关法律、法规、规章的规定。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条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本规定由法制科负责解释并于印发之日起施行。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b w:val="0"/>
          <w:bCs/>
        </w:rPr>
      </w:pPr>
    </w:p>
    <w:p>
      <w:pPr>
        <w:rPr>
          <w:rFonts w:hint="eastAsia"/>
          <w:b w:val="0"/>
          <w:bCs/>
          <w:lang w:val="en-US" w:eastAsia="zh-CN"/>
        </w:rPr>
      </w:pPr>
    </w:p>
    <w:p>
      <w:pPr>
        <w:tabs>
          <w:tab w:val="left" w:pos="2376"/>
        </w:tabs>
        <w:jc w:val="left"/>
        <w:rPr>
          <w:rFonts w:hint="eastAsia" w:cstheme="minorBidi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376"/>
        </w:tabs>
        <w:jc w:val="left"/>
        <w:rPr>
          <w:rFonts w:hint="eastAsia" w:cstheme="minorBidi"/>
          <w:b w:val="0"/>
          <w:bCs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黑体" w:eastAsia="黑体"/>
          <w:b w:val="0"/>
          <w:bCs/>
          <w:sz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彩虹楷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Â宋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理德小标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MT Extra">
    <w:altName w:val="Gloucester MT Extra Condensed"/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���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T Extra">
    <w:altName w:val="Gloucester MT Extra Condensed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E4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2017-09-13T05:37:26Z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